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F0" w:rsidRPr="000A5BF0" w:rsidRDefault="000A5BF0" w:rsidP="000A5BF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GB" w:eastAsia="ru-RU"/>
        </w:rPr>
      </w:pPr>
      <w:proofErr w:type="spellStart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>Anexa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nr.4</w:t>
      </w:r>
    </w:p>
    <w:p w:rsidR="000A5BF0" w:rsidRPr="000A5BF0" w:rsidRDefault="000A5BF0" w:rsidP="000A5BF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GB" w:eastAsia="ru-RU"/>
        </w:rPr>
      </w:pPr>
      <w:proofErr w:type="gramStart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>la</w:t>
      </w:r>
      <w:proofErr w:type="gramEnd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>Ordinul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>ministrului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>finanțelor</w:t>
      </w:r>
      <w:proofErr w:type="spellEnd"/>
    </w:p>
    <w:p w:rsidR="000A5BF0" w:rsidRPr="000A5BF0" w:rsidRDefault="000A5BF0" w:rsidP="000A5BF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GB" w:eastAsia="ru-RU"/>
        </w:rPr>
      </w:pPr>
      <w:proofErr w:type="gramStart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>nr.</w:t>
      </w:r>
      <w:r w:rsidRPr="000A5BF0">
        <w:rPr>
          <w:rFonts w:ascii="Times New Roman" w:hAnsi="Times New Roman" w:cs="Times New Roman"/>
          <w:sz w:val="24"/>
          <w:szCs w:val="24"/>
          <w:u w:val="single"/>
          <w:lang w:val="en-GB" w:eastAsia="ru-RU"/>
        </w:rPr>
        <w:t>218</w:t>
      </w:r>
      <w:proofErr w:type="gramEnd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din </w:t>
      </w:r>
      <w:r w:rsidRPr="000A5BF0">
        <w:rPr>
          <w:rFonts w:ascii="Times New Roman" w:hAnsi="Times New Roman" w:cs="Times New Roman"/>
          <w:sz w:val="24"/>
          <w:szCs w:val="24"/>
          <w:u w:val="single"/>
          <w:lang w:val="en-GB" w:eastAsia="ru-RU"/>
        </w:rPr>
        <w:t xml:space="preserve">28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u w:val="single"/>
          <w:lang w:val="en-GB" w:eastAsia="ru-RU"/>
        </w:rPr>
        <w:t>decembrie</w:t>
      </w:r>
      <w:proofErr w:type="spellEnd"/>
      <w:r w:rsidRPr="000A5BF0">
        <w:rPr>
          <w:rFonts w:ascii="Times New Roman" w:hAnsi="Times New Roman" w:cs="Times New Roman"/>
          <w:sz w:val="24"/>
          <w:szCs w:val="24"/>
          <w:u w:val="single"/>
          <w:lang w:val="en-GB" w:eastAsia="ru-RU"/>
        </w:rPr>
        <w:t xml:space="preserve"> 2018</w:t>
      </w:r>
    </w:p>
    <w:p w:rsidR="000A5BF0" w:rsidRPr="000A5BF0" w:rsidRDefault="000A5BF0" w:rsidP="000A5BF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A5BF0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</w:p>
    <w:p w:rsidR="000A5BF0" w:rsidRPr="000A5BF0" w:rsidRDefault="000A5BF0" w:rsidP="000A5B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</w:pPr>
      <w:proofErr w:type="spellStart"/>
      <w:r w:rsidRPr="000A5BF0"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  <w:t>Modalitatea</w:t>
      </w:r>
      <w:proofErr w:type="spellEnd"/>
      <w:r w:rsidRPr="000A5BF0"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  <w:t>elaborare</w:t>
      </w:r>
      <w:proofErr w:type="spellEnd"/>
      <w:r w:rsidRPr="000A5BF0"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  <w:t>și</w:t>
      </w:r>
      <w:proofErr w:type="spellEnd"/>
      <w:r w:rsidRPr="000A5BF0"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  <w:t>aprobare</w:t>
      </w:r>
      <w:proofErr w:type="spellEnd"/>
      <w:r w:rsidRPr="000A5BF0"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  <w:t xml:space="preserve"> a </w:t>
      </w:r>
      <w:proofErr w:type="spellStart"/>
      <w:r w:rsidRPr="000A5BF0"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  <w:t>schemelor</w:t>
      </w:r>
      <w:proofErr w:type="spellEnd"/>
    </w:p>
    <w:p w:rsidR="000A5BF0" w:rsidRPr="000A5BF0" w:rsidRDefault="000A5BF0" w:rsidP="000A5B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</w:pPr>
      <w:proofErr w:type="gramStart"/>
      <w:r w:rsidRPr="000A5BF0"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  <w:t>de</w:t>
      </w:r>
      <w:proofErr w:type="gramEnd"/>
      <w:r w:rsidRPr="000A5BF0"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  <w:t>încadrare</w:t>
      </w:r>
      <w:proofErr w:type="spellEnd"/>
      <w:r w:rsidRPr="000A5BF0"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  <w:t xml:space="preserve"> a </w:t>
      </w:r>
      <w:proofErr w:type="spellStart"/>
      <w:r w:rsidRPr="000A5BF0"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  <w:t>personalului</w:t>
      </w:r>
      <w:proofErr w:type="spellEnd"/>
      <w:r w:rsidRPr="000A5BF0"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  <w:t>instituțiilor</w:t>
      </w:r>
      <w:proofErr w:type="spellEnd"/>
      <w:r w:rsidRPr="000A5BF0"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  <w:t>bugetare</w:t>
      </w:r>
      <w:proofErr w:type="spellEnd"/>
    </w:p>
    <w:p w:rsidR="000A5BF0" w:rsidRPr="000A5BF0" w:rsidRDefault="000A5BF0" w:rsidP="000A5B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</w:pPr>
    </w:p>
    <w:p w:rsidR="000A5BF0" w:rsidRPr="000A5BF0" w:rsidRDefault="000A5BF0" w:rsidP="000A5BF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 w:eastAsia="ru-RU"/>
        </w:rPr>
      </w:pPr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Schema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>încadrare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a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>personalului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>instituțiilor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>bugetare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>elaborează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>și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>completează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>conformitate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cu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>anexa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nr.3 la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>prezentul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>ordin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>după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cum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>urmează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val="en-GB" w:eastAsia="ru-RU"/>
        </w:rPr>
        <w:t>:</w:t>
      </w:r>
    </w:p>
    <w:p w:rsidR="000A5BF0" w:rsidRPr="000A5BF0" w:rsidRDefault="000A5BF0" w:rsidP="000A5BF0">
      <w:pPr>
        <w:pStyle w:val="ListParagraph"/>
        <w:numPr>
          <w:ilvl w:val="0"/>
          <w:numId w:val="1"/>
        </w:numPr>
        <w:spacing w:before="40" w:after="0" w:line="276" w:lineRule="auto"/>
        <w:ind w:left="664" w:hanging="304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Schema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încadrare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elaborează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către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subdiviziunea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economică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financiară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contabilă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comun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cu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subdiviziunea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resurse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umane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sau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după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caz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cu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persoana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cu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atribuții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domeniul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gestionării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resurselor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umane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5BF0" w:rsidRPr="000A5BF0" w:rsidRDefault="000A5BF0" w:rsidP="000A5BF0">
      <w:pPr>
        <w:pStyle w:val="ListParagraph"/>
        <w:numPr>
          <w:ilvl w:val="0"/>
          <w:numId w:val="1"/>
        </w:numPr>
        <w:spacing w:before="40" w:after="0" w:line="276" w:lineRule="auto"/>
        <w:ind w:left="664" w:hanging="304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Schema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încadrare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semnează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către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conducătorul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instituției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conducătorul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subdiviziunii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economice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financiare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contabile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al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subdiviziunii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resurse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umane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după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caz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și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confirmă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prin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aplicarea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ștampilei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5BF0" w:rsidRPr="000A5BF0" w:rsidRDefault="000A5BF0" w:rsidP="000A5BF0">
      <w:pPr>
        <w:pStyle w:val="ListParagraph"/>
        <w:numPr>
          <w:ilvl w:val="0"/>
          <w:numId w:val="1"/>
        </w:numPr>
        <w:spacing w:before="40" w:after="0" w:line="276" w:lineRule="auto"/>
        <w:ind w:left="664" w:hanging="304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Schema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încadrare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aprobă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către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conducătorul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instituției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ierarhic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superioare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sau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după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caz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de </w:t>
      </w:r>
      <w:proofErr w:type="spellStart"/>
      <w:proofErr w:type="gram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altă</w:t>
      </w:r>
      <w:proofErr w:type="spellEnd"/>
      <w:proofErr w:type="gram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persoană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abilitată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potrivit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cadrului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legislativ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și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normativ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vigoare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prin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aplicarea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semnăturii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și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indicarea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datei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. Schema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încadrare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elaborează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pentru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un</w:t>
      </w:r>
      <w:proofErr w:type="gram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an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financiar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bugetar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și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aprobă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cel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târziu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până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la data de 31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decembrie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anului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anterior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celui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pentru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care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aprobă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schema (cu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excepția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instituțiilor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învățământ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A5BF0" w:rsidRPr="000A5BF0" w:rsidRDefault="000A5BF0" w:rsidP="000A5BF0">
      <w:pPr>
        <w:pStyle w:val="ListParagraph"/>
        <w:spacing w:beforeLines="40"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Instituțiile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învățământ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elaborează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și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aprobă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schema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încadrare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5BF0">
        <w:rPr>
          <w:rFonts w:ascii="Times New Roman" w:hAnsi="Times New Roman" w:cs="Times New Roman"/>
          <w:sz w:val="24"/>
          <w:szCs w:val="24"/>
          <w:lang w:val="ro-RO" w:eastAsia="ru-RU"/>
        </w:rPr>
        <w:t>și</w:t>
      </w:r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la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începutul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anului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învățământ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dar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nu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mai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târziu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data de 30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septembrie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anului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curs.</w:t>
      </w:r>
    </w:p>
    <w:p w:rsidR="000A5BF0" w:rsidRPr="000A5BF0" w:rsidRDefault="000A5BF0" w:rsidP="000A5BF0">
      <w:pPr>
        <w:pStyle w:val="ListParagraph"/>
        <w:numPr>
          <w:ilvl w:val="0"/>
          <w:numId w:val="1"/>
        </w:numPr>
        <w:spacing w:beforeLines="40" w:after="0" w:line="276" w:lineRule="auto"/>
        <w:ind w:left="664" w:hanging="304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parcursul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anului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schema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încadrare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poate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reexaminată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și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aprobată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legătură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cu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modificarea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efectivului-limită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și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sau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claselor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nr.270/2018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unitar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>.</w:t>
      </w:r>
    </w:p>
    <w:p w:rsidR="000A5BF0" w:rsidRPr="000A5BF0" w:rsidRDefault="000A5BF0" w:rsidP="000A5BF0">
      <w:pPr>
        <w:pStyle w:val="ListParagraph"/>
        <w:numPr>
          <w:ilvl w:val="0"/>
          <w:numId w:val="1"/>
        </w:numPr>
        <w:spacing w:beforeLines="40" w:after="0" w:line="276" w:lineRule="auto"/>
        <w:ind w:left="664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tabelul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din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colțul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stâng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din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formular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indică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codurile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atribuite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instituției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conform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clasificației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bugetare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0A5BF0" w:rsidRPr="000A5BF0" w:rsidRDefault="000A5BF0" w:rsidP="000A5BF0">
      <w:pPr>
        <w:pStyle w:val="ListParagraph"/>
        <w:numPr>
          <w:ilvl w:val="0"/>
          <w:numId w:val="1"/>
        </w:numPr>
        <w:spacing w:beforeLines="40" w:after="0" w:line="276" w:lineRule="auto"/>
        <w:ind w:left="664" w:hanging="304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titlul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schemei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încadrare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indică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denumirea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completă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instituției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publice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5BF0" w:rsidRPr="000A5BF0" w:rsidRDefault="000A5BF0" w:rsidP="000A5BF0">
      <w:pPr>
        <w:pStyle w:val="ListParagraph"/>
        <w:numPr>
          <w:ilvl w:val="0"/>
          <w:numId w:val="1"/>
        </w:numPr>
        <w:spacing w:beforeLines="40" w:after="0" w:line="276" w:lineRule="auto"/>
        <w:ind w:left="664" w:hanging="304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A5BF0">
        <w:rPr>
          <w:rFonts w:ascii="Times New Roman" w:hAnsi="Times New Roman" w:cs="Times New Roman"/>
          <w:bCs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coloana</w:t>
      </w:r>
      <w:proofErr w:type="spellEnd"/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–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indică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numărul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ordine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subdiviziunilor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structurale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compartimentelor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și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titlurilor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funcțiilor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instituite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instituție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0A5BF0" w:rsidRPr="000A5BF0" w:rsidRDefault="000A5BF0" w:rsidP="000A5BF0">
      <w:pPr>
        <w:pStyle w:val="ListParagraph"/>
        <w:numPr>
          <w:ilvl w:val="0"/>
          <w:numId w:val="1"/>
        </w:numPr>
        <w:spacing w:beforeLines="40" w:after="0" w:line="276" w:lineRule="auto"/>
        <w:ind w:left="664" w:hanging="304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coloana</w:t>
      </w:r>
      <w:proofErr w:type="spellEnd"/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–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indică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denumirea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subdiviziunii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structurale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compartimentului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și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titlurile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funcțiilor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instituite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instituția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bugetară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divizate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funcții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conducere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funcții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execuție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și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personal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auxiliar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Instituțiile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bugetare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care au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structura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delimitată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subdiviziuni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structurale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completează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formularul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indicând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subdiviziunile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structurale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cu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titlurile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funcții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din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cadrul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fiecărei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subdiviziuni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A5BF0" w:rsidRPr="000A5BF0" w:rsidRDefault="000A5BF0" w:rsidP="000A5BF0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Indicatorii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tipuri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personal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vor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reflecta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trei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compartimente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A5BF0" w:rsidRPr="000A5BF0" w:rsidRDefault="000A5BF0" w:rsidP="000A5BF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funcții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conducere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A5BF0" w:rsidRPr="000A5BF0" w:rsidRDefault="000A5BF0" w:rsidP="000A5BF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funcții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execuție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A5BF0" w:rsidRPr="000A5BF0" w:rsidRDefault="000A5BF0" w:rsidP="000A5BF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personal</w:t>
      </w:r>
      <w:proofErr w:type="gram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auxiliar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muncitori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A5BF0" w:rsidRPr="000A5BF0" w:rsidRDefault="000A5BF0" w:rsidP="000A5BF0">
      <w:pPr>
        <w:pStyle w:val="ListParagraph"/>
        <w:spacing w:beforeLines="4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La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compartimentul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I “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Funcții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conducere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”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reflectă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personalul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desfășoară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activitate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administrativă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(de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conducere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management),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indicat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compartimentul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respectiv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din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anexele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3-10 la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Legea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nr.270 din 23.11.2018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privind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sistemul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unitar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salarizare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sectorul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bugetar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5BF0" w:rsidRPr="000A5BF0" w:rsidRDefault="000A5BF0" w:rsidP="000A5BF0">
      <w:pPr>
        <w:pStyle w:val="ListParagraph"/>
        <w:spacing w:beforeLines="4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BF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La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compartimentul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II “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Funcții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execuție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”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reflectă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funcțiile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presupun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competentă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într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-o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anumită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sferă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activitate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conform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Anexelor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3-10 la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Legea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nr.270 din 23.11.2018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privind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sistemul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unitar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salarizare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sectorul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bugetar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5BF0" w:rsidRPr="000A5BF0" w:rsidRDefault="000A5BF0" w:rsidP="000A5BF0">
      <w:pPr>
        <w:pStyle w:val="ListParagraph"/>
        <w:spacing w:beforeLines="4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La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compartimentul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III “Personal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auxiliar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muncitori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)”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reflectă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funcțiile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muncitori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calificați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și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necalificați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din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Anexa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nr.10 a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Legii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nr. 270 din 23.11.2018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privind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sistemul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unitar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salarizare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sectorul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bugetar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5BF0" w:rsidRPr="000A5BF0" w:rsidRDefault="000A5BF0" w:rsidP="000A5BF0">
      <w:pPr>
        <w:pStyle w:val="ListParagraph"/>
        <w:numPr>
          <w:ilvl w:val="0"/>
          <w:numId w:val="1"/>
        </w:numPr>
        <w:spacing w:beforeLines="40" w:after="0" w:line="276" w:lineRule="auto"/>
        <w:ind w:left="66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coloana</w:t>
      </w:r>
      <w:proofErr w:type="spellEnd"/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–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reflectă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codul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ocupației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corespunzător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Clasificatorului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Ocupațiilor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din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Republica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Moldova (CORM).</w:t>
      </w:r>
    </w:p>
    <w:p w:rsidR="000A5BF0" w:rsidRPr="000A5BF0" w:rsidRDefault="000A5BF0" w:rsidP="000A5BF0">
      <w:pPr>
        <w:pStyle w:val="ListParagraph"/>
        <w:numPr>
          <w:ilvl w:val="0"/>
          <w:numId w:val="1"/>
        </w:numPr>
        <w:spacing w:beforeLines="40" w:after="0" w:line="276" w:lineRule="auto"/>
        <w:ind w:left="663" w:hanging="3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B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b/>
          <w:sz w:val="24"/>
          <w:szCs w:val="24"/>
          <w:lang w:eastAsia="ru-RU"/>
        </w:rPr>
        <w:t>coloana</w:t>
      </w:r>
      <w:proofErr w:type="spellEnd"/>
      <w:r w:rsidRPr="000A5B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4 - </w:t>
      </w:r>
      <w:r w:rsidRPr="000A5BF0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funcției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anexelor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3-10 la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nr. 270 din 23.11. 2018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unitar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>.</w:t>
      </w:r>
    </w:p>
    <w:p w:rsidR="000A5BF0" w:rsidRPr="000A5BF0" w:rsidRDefault="000A5BF0" w:rsidP="000A5BF0">
      <w:pPr>
        <w:pStyle w:val="ListParagraph"/>
        <w:numPr>
          <w:ilvl w:val="0"/>
          <w:numId w:val="1"/>
        </w:numPr>
        <w:spacing w:beforeLines="40" w:after="0" w:line="276" w:lineRule="auto"/>
        <w:ind w:left="663" w:hanging="304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coloana</w:t>
      </w:r>
      <w:proofErr w:type="spellEnd"/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5</w:t>
      </w:r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–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indică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clasa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salarizare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funcției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conform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anexelor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3-10 la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Legea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nr. 270 din 23.11.2018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privind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sistemul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unitar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salarizare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sectorul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bugetar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A5BF0" w:rsidRPr="000A5BF0" w:rsidRDefault="000A5BF0" w:rsidP="000A5BF0">
      <w:pPr>
        <w:pStyle w:val="ListParagraph"/>
        <w:numPr>
          <w:ilvl w:val="0"/>
          <w:numId w:val="1"/>
        </w:numPr>
        <w:spacing w:before="40" w:after="0" w:line="276" w:lineRule="auto"/>
        <w:ind w:left="664" w:hanging="304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coloana</w:t>
      </w:r>
      <w:proofErr w:type="spellEnd"/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–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indică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numărul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ore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săptămânale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anuale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stabilite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pentru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un</w:t>
      </w:r>
      <w:proofErr w:type="gram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post didactic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treapta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respectivă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învățământ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norma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didactică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0A5BF0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</w:p>
    <w:p w:rsidR="000A5BF0" w:rsidRPr="000A5BF0" w:rsidRDefault="000A5BF0" w:rsidP="000A5BF0">
      <w:pPr>
        <w:pStyle w:val="ListParagraph"/>
        <w:numPr>
          <w:ilvl w:val="0"/>
          <w:numId w:val="1"/>
        </w:numPr>
        <w:spacing w:before="40" w:after="0" w:line="276" w:lineRule="auto"/>
        <w:ind w:left="664" w:hanging="304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Coloanele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6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și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7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completează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doar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pentru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funcțiile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posturile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) de personal didactic.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Pentru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corpul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profesoral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-didactic din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instituțiile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învățământ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superior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coloanele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și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6 nu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completează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0A5BF0" w:rsidRPr="000A5BF0" w:rsidRDefault="000A5BF0" w:rsidP="000A5BF0">
      <w:pPr>
        <w:pStyle w:val="ListParagraph"/>
        <w:numPr>
          <w:ilvl w:val="0"/>
          <w:numId w:val="1"/>
        </w:numPr>
        <w:spacing w:before="40" w:after="0" w:line="276" w:lineRule="auto"/>
        <w:ind w:left="664" w:hanging="304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coloana</w:t>
      </w:r>
      <w:proofErr w:type="spellEnd"/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7</w:t>
      </w:r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–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indică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numărul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ore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săptămânale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anuale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aprobate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pentru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fiecare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cadru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didactic.</w:t>
      </w:r>
    </w:p>
    <w:p w:rsidR="000A5BF0" w:rsidRPr="000A5BF0" w:rsidRDefault="000A5BF0" w:rsidP="000A5BF0">
      <w:pPr>
        <w:pStyle w:val="ListParagraph"/>
        <w:numPr>
          <w:ilvl w:val="0"/>
          <w:numId w:val="1"/>
        </w:numPr>
        <w:spacing w:before="4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coloana</w:t>
      </w:r>
      <w:proofErr w:type="spellEnd"/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BF0">
        <w:rPr>
          <w:rFonts w:ascii="Times New Roman" w:hAnsi="Times New Roman" w:cs="Times New Roman"/>
          <w:sz w:val="24"/>
          <w:szCs w:val="24"/>
        </w:rPr>
        <w:t>–  se</w:t>
      </w:r>
      <w:proofErr w:type="gram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treapta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vechimii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funcțiile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încadrate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efectiv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nr. 270 din 23.11.2018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unitar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funcțiile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vacante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treapta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III, conform art.12,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. (6) </w:t>
      </w:r>
      <w:proofErr w:type="gramStart"/>
      <w:r w:rsidRPr="000A5BF0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0A5BF0">
        <w:rPr>
          <w:rFonts w:ascii="Times New Roman" w:hAnsi="Times New Roman" w:cs="Times New Roman"/>
          <w:sz w:val="24"/>
          <w:szCs w:val="24"/>
        </w:rPr>
        <w:t>270  din</w:t>
      </w:r>
      <w:proofErr w:type="gramEnd"/>
      <w:r w:rsidRPr="000A5BF0">
        <w:rPr>
          <w:rFonts w:ascii="Times New Roman" w:hAnsi="Times New Roman" w:cs="Times New Roman"/>
          <w:sz w:val="24"/>
          <w:szCs w:val="24"/>
        </w:rPr>
        <w:t xml:space="preserve"> 23.11.2018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unitar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funcțiile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vacante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neocupate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treapta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atribuită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titularului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funcției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funcțiile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vacante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ocupate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treapta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superioară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treapta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titularului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funcției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treapta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ocupă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BF0" w:rsidRPr="000A5BF0" w:rsidRDefault="000A5BF0" w:rsidP="000A5BF0">
      <w:pPr>
        <w:pStyle w:val="ListParagraph"/>
        <w:numPr>
          <w:ilvl w:val="0"/>
          <w:numId w:val="1"/>
        </w:numPr>
        <w:spacing w:before="40" w:after="0" w:line="276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b/>
          <w:sz w:val="24"/>
          <w:szCs w:val="24"/>
          <w:lang w:eastAsia="ru-RU"/>
        </w:rPr>
        <w:t>coloana</w:t>
      </w:r>
      <w:proofErr w:type="spellEnd"/>
      <w:r w:rsidRPr="000A5B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9</w:t>
      </w:r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-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indică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clasa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salarizare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cumulativă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atribuită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persoanei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care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ocupă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funcția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respectivă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raport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cu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vechimea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muncă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luându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-se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calcul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toate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componentele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care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duc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la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majorarea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sau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diminuarea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clasei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salarizare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prevăzute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Legea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nr.270 din 23.11.2018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privind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sistemul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unitar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salarizare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sectorul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bugetar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0A5BF0" w:rsidRPr="000A5BF0" w:rsidRDefault="000A5BF0" w:rsidP="000A5BF0">
      <w:pPr>
        <w:pStyle w:val="ListParagraph"/>
        <w:numPr>
          <w:ilvl w:val="0"/>
          <w:numId w:val="1"/>
        </w:numPr>
        <w:spacing w:before="40" w:after="0" w:line="276" w:lineRule="auto"/>
        <w:ind w:left="664" w:hanging="304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coloana</w:t>
      </w:r>
      <w:proofErr w:type="spellEnd"/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10</w:t>
      </w:r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–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indică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numărul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unități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stabilit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funcția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respectivă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Dacă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subdiviziune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sunt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instituite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mai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multe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unități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pentru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un</w:t>
      </w:r>
      <w:proofErr w:type="gram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titlu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funcție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fiecare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unitate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funcției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cauză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reflectă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rând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separat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fără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cumula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numărul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unități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5BF0" w:rsidRPr="000A5BF0" w:rsidRDefault="000A5BF0" w:rsidP="000A5BF0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BF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De </w:t>
      </w:r>
      <w:proofErr w:type="spellStart"/>
      <w:r w:rsidRPr="000A5BF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exemplu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cadrul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unei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subdiviziuni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sunt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instituite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proofErr w:type="gram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,75</w:t>
      </w:r>
      <w:proofErr w:type="gram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unități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laborant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cu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aceeași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c</w:t>
      </w:r>
      <w:r w:rsidRPr="000A5BF0">
        <w:rPr>
          <w:rFonts w:ascii="Times New Roman" w:hAnsi="Times New Roman" w:cs="Times New Roman"/>
          <w:sz w:val="24"/>
          <w:szCs w:val="24"/>
          <w:lang w:val="fr-FR" w:eastAsia="ru-RU"/>
        </w:rPr>
        <w:t>las</w:t>
      </w:r>
      <w:r w:rsidRPr="000A5BF0">
        <w:rPr>
          <w:rFonts w:ascii="Times New Roman" w:hAnsi="Times New Roman" w:cs="Times New Roman"/>
          <w:sz w:val="24"/>
          <w:szCs w:val="24"/>
          <w:lang w:val="ro-RO" w:eastAsia="ru-RU"/>
        </w:rPr>
        <w:t>ă</w:t>
      </w:r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salarizare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schema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încadrare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pentru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subdiviziunea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dată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funcția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laborant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” se </w:t>
      </w:r>
      <w:proofErr w:type="spellStart"/>
      <w:proofErr w:type="gram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va</w:t>
      </w:r>
      <w:proofErr w:type="spellEnd"/>
      <w:proofErr w:type="gram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reflecta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4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ori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rânduri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separate.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rânduri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coloana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5BF0">
        <w:rPr>
          <w:rFonts w:ascii="Times New Roman" w:hAnsi="Times New Roman" w:cs="Times New Roman"/>
          <w:sz w:val="24"/>
          <w:szCs w:val="24"/>
          <w:lang w:val="fr-FR" w:eastAsia="ru-RU"/>
        </w:rPr>
        <w:t>10</w:t>
      </w:r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va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indica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cifra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“1”,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iar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al 4-lea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rând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cifra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“0</w:t>
      </w:r>
      <w:proofErr w:type="gram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,75</w:t>
      </w:r>
      <w:proofErr w:type="gram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”.</w:t>
      </w:r>
    </w:p>
    <w:p w:rsidR="000A5BF0" w:rsidRPr="000A5BF0" w:rsidRDefault="000A5BF0" w:rsidP="000A5BF0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Pentru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cadrele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didactice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–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indică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numărul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unități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estimat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ca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raport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dintre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sarcina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didactică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și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norma</w:t>
      </w:r>
      <w:proofErr w:type="spellEnd"/>
      <w:proofErr w:type="gram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didactică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stabilită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A5BF0">
        <w:rPr>
          <w:rFonts w:ascii="Times New Roman" w:hAnsi="Times New Roman" w:cs="Times New Roman"/>
          <w:sz w:val="24"/>
          <w:szCs w:val="24"/>
          <w:lang w:val="fr-FR" w:eastAsia="ru-RU"/>
        </w:rPr>
        <w:t> </w:t>
      </w:r>
    </w:p>
    <w:p w:rsidR="000A5BF0" w:rsidRPr="000A5BF0" w:rsidRDefault="000A5BF0" w:rsidP="000A5BF0">
      <w:pPr>
        <w:pStyle w:val="ListParagraph"/>
        <w:numPr>
          <w:ilvl w:val="0"/>
          <w:numId w:val="1"/>
        </w:numPr>
        <w:spacing w:beforeLines="40" w:after="0" w:line="276" w:lineRule="auto"/>
        <w:ind w:left="663" w:hanging="306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coloana</w:t>
      </w:r>
      <w:proofErr w:type="spellEnd"/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11</w:t>
      </w:r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–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indică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salariul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bază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stabilit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unitate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/ p/u o </w:t>
      </w:r>
      <w:proofErr w:type="spellStart"/>
      <w:proofErr w:type="gram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normă</w:t>
      </w:r>
      <w:proofErr w:type="spellEnd"/>
      <w:proofErr w:type="gram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didactică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5BF0" w:rsidRPr="000A5BF0" w:rsidRDefault="000A5BF0" w:rsidP="000A5BF0">
      <w:pPr>
        <w:pStyle w:val="ListParagraph"/>
        <w:numPr>
          <w:ilvl w:val="0"/>
          <w:numId w:val="1"/>
        </w:numPr>
        <w:spacing w:beforeLines="40" w:after="0" w:line="276" w:lineRule="auto"/>
        <w:ind w:left="663" w:hanging="306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coloana</w:t>
      </w:r>
      <w:proofErr w:type="spellEnd"/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12</w:t>
      </w:r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–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indică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salariul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bază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pentru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unitățile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sarcina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didactică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stabilite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fiecare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titlu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funcție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și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determină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prin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înmulțirea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numărului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unități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din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coloana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10 cu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cuantumul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salariului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bază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lunar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stabilit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pentru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o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unitate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normă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didactică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din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coloana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11. </w:t>
      </w:r>
    </w:p>
    <w:p w:rsidR="000A5BF0" w:rsidRPr="000A5BF0" w:rsidRDefault="000A5BF0" w:rsidP="000A5BF0">
      <w:pPr>
        <w:pStyle w:val="ListParagraph"/>
        <w:numPr>
          <w:ilvl w:val="0"/>
          <w:numId w:val="1"/>
        </w:numPr>
        <w:spacing w:beforeLines="40" w:after="0" w:line="276" w:lineRule="auto"/>
        <w:ind w:left="663" w:hanging="3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coloana</w:t>
      </w:r>
      <w:proofErr w:type="spellEnd"/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13 </w:t>
      </w:r>
      <w:r w:rsidRPr="000A5BF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se </w:t>
      </w:r>
      <w:proofErr w:type="spellStart"/>
      <w:r w:rsidRPr="000A5BF0">
        <w:rPr>
          <w:rFonts w:ascii="Times New Roman" w:hAnsi="Times New Roman" w:cs="Times New Roman"/>
          <w:bCs/>
          <w:sz w:val="24"/>
          <w:szCs w:val="24"/>
          <w:lang w:eastAsia="ru-RU"/>
        </w:rPr>
        <w:t>indică</w:t>
      </w:r>
      <w:proofErr w:type="spellEnd"/>
      <w:r w:rsidRPr="000A5BF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devierile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A5BF0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0A5BF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influențat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cumulative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atribuite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(ex.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medii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= - 5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succesive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notelor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anexele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nr.3-10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art. 12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>. (9)</w:t>
      </w:r>
      <w:proofErr w:type="gramStart"/>
      <w:r w:rsidRPr="000A5BF0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0A5BF0">
        <w:rPr>
          <w:rFonts w:ascii="Times New Roman" w:hAnsi="Times New Roman" w:cs="Times New Roman"/>
          <w:sz w:val="24"/>
          <w:szCs w:val="24"/>
        </w:rPr>
        <w:t xml:space="preserve">12) din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unitar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nr. 270 din 23.11.2018. </w:t>
      </w:r>
    </w:p>
    <w:p w:rsidR="000A5BF0" w:rsidRPr="000A5BF0" w:rsidRDefault="000A5BF0" w:rsidP="000A5BF0">
      <w:pPr>
        <w:pStyle w:val="ListParagraph"/>
        <w:numPr>
          <w:ilvl w:val="0"/>
          <w:numId w:val="1"/>
        </w:numPr>
        <w:spacing w:beforeLines="40" w:after="0" w:line="276" w:lineRule="auto"/>
        <w:ind w:left="663" w:hanging="306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La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elaborarea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schemei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încadrare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este</w:t>
      </w:r>
      <w:proofErr w:type="spellEnd"/>
      <w:proofErr w:type="gram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necesar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evidențiat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rândul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“Total”</w:t>
      </w:r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intermediar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fiecare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subdiviziune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compartiment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și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5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“Total general”</w:t>
      </w:r>
      <w:r w:rsidRPr="000A5BF0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0A5BF0" w:rsidRPr="000A5BF0" w:rsidRDefault="000A5BF0" w:rsidP="000A5BF0">
      <w:pPr>
        <w:pStyle w:val="ListParagraph"/>
        <w:numPr>
          <w:ilvl w:val="0"/>
          <w:numId w:val="1"/>
        </w:numPr>
        <w:spacing w:beforeLines="40" w:after="0" w:line="276" w:lineRule="auto"/>
        <w:ind w:left="663" w:hanging="306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La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întocmirea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și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aprobarea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schemelor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încadrare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“Note” la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tabel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va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indica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A5BF0" w:rsidRPr="000A5BF0" w:rsidRDefault="000A5BF0" w:rsidP="000A5BF0">
      <w:pPr>
        <w:pStyle w:val="ListParagraph"/>
        <w:numPr>
          <w:ilvl w:val="0"/>
          <w:numId w:val="4"/>
        </w:numPr>
        <w:spacing w:after="0" w:line="276" w:lineRule="auto"/>
        <w:ind w:hanging="1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BF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1, la “Total” se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total de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0A5BF0">
        <w:rPr>
          <w:rFonts w:ascii="Times New Roman" w:hAnsi="Times New Roman" w:cs="Times New Roman"/>
          <w:sz w:val="24"/>
          <w:szCs w:val="24"/>
        </w:rPr>
        <w:t>:</w:t>
      </w:r>
    </w:p>
    <w:p w:rsidR="000A5BF0" w:rsidRPr="000A5BF0" w:rsidRDefault="000A5BF0" w:rsidP="000A5BF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funcții</w:t>
      </w:r>
      <w:proofErr w:type="spellEnd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conducere</w:t>
      </w:r>
      <w:proofErr w:type="spellEnd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0A5BF0" w:rsidRPr="000A5BF0" w:rsidRDefault="000A5BF0" w:rsidP="000A5BF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funcții</w:t>
      </w:r>
      <w:proofErr w:type="spellEnd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execuție</w:t>
      </w:r>
      <w:proofErr w:type="spellEnd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0A5BF0" w:rsidRPr="000A5BF0" w:rsidRDefault="000A5BF0" w:rsidP="000A5BF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personal</w:t>
      </w:r>
      <w:proofErr w:type="gramEnd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auxiliar</w:t>
      </w:r>
      <w:proofErr w:type="spellEnd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muncitori</w:t>
      </w:r>
      <w:proofErr w:type="spellEnd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).</w:t>
      </w:r>
    </w:p>
    <w:p w:rsidR="000A5BF0" w:rsidRPr="000A5BF0" w:rsidRDefault="000A5BF0" w:rsidP="000A5BF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la</w:t>
      </w:r>
      <w:proofErr w:type="gram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punctul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2 –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indică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informativ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numărul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funcții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militari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termen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și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se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completează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doar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instituțiile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bugetare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din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domeniul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apărării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naționale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securității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statului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și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ordinii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publice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cadrul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cărora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sunt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aprobate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posturi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militari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termen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0A5BF0" w:rsidRPr="000A5BF0" w:rsidRDefault="000A5BF0" w:rsidP="000A5BF0">
      <w:pPr>
        <w:pStyle w:val="ListParagraph"/>
        <w:numPr>
          <w:ilvl w:val="0"/>
          <w:numId w:val="1"/>
        </w:numPr>
        <w:spacing w:beforeLines="40" w:after="0" w:line="276" w:lineRule="auto"/>
        <w:ind w:left="663" w:hanging="306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Instituțiile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bugetare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finanțate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la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bugetul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stat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prezintă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copia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schemei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încadrare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la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organul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 xml:space="preserve"> central de </w:t>
      </w:r>
      <w:proofErr w:type="spellStart"/>
      <w:r w:rsidRPr="000A5BF0">
        <w:rPr>
          <w:rFonts w:ascii="Times New Roman" w:hAnsi="Times New Roman" w:cs="Times New Roman"/>
          <w:sz w:val="24"/>
          <w:szCs w:val="24"/>
          <w:lang w:eastAsia="ru-RU"/>
        </w:rPr>
        <w:t>specialitate</w:t>
      </w:r>
      <w:proofErr w:type="spellEnd"/>
      <w:r w:rsidRPr="000A5B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5BF0" w:rsidRPr="000A5BF0" w:rsidRDefault="000A5BF0" w:rsidP="000A5BF0">
      <w:pPr>
        <w:pStyle w:val="ListParagraph"/>
        <w:numPr>
          <w:ilvl w:val="0"/>
          <w:numId w:val="1"/>
        </w:numPr>
        <w:spacing w:beforeLines="40" w:after="0" w:line="276" w:lineRule="auto"/>
        <w:ind w:left="663" w:hanging="306"/>
        <w:contextualSpacing w:val="0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Autoritățile</w:t>
      </w:r>
      <w:proofErr w:type="spellEnd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administrației</w:t>
      </w:r>
      <w:proofErr w:type="spellEnd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publice</w:t>
      </w:r>
      <w:proofErr w:type="spellEnd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locale de </w:t>
      </w:r>
      <w:proofErr w:type="spellStart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nivelul</w:t>
      </w:r>
      <w:proofErr w:type="spellEnd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I </w:t>
      </w:r>
      <w:proofErr w:type="spellStart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prezintă</w:t>
      </w:r>
      <w:proofErr w:type="spellEnd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spre</w:t>
      </w:r>
      <w:proofErr w:type="spellEnd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aprobare</w:t>
      </w:r>
      <w:proofErr w:type="spellEnd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și</w:t>
      </w:r>
      <w:proofErr w:type="spellEnd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înregistrare</w:t>
      </w:r>
      <w:proofErr w:type="spellEnd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schemele</w:t>
      </w:r>
      <w:proofErr w:type="spellEnd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de </w:t>
      </w:r>
      <w:proofErr w:type="spellStart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încadrare</w:t>
      </w:r>
      <w:proofErr w:type="spellEnd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la </w:t>
      </w:r>
      <w:proofErr w:type="spellStart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decizia</w:t>
      </w:r>
      <w:proofErr w:type="spellEnd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Consiliului</w:t>
      </w:r>
      <w:proofErr w:type="spellEnd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local/</w:t>
      </w:r>
      <w:proofErr w:type="spellStart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raional</w:t>
      </w:r>
      <w:proofErr w:type="spellEnd"/>
      <w:r w:rsidRPr="000A5BF0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B00B24" w:rsidRPr="000A5BF0" w:rsidRDefault="00B00B2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00B24" w:rsidRPr="000A5BF0" w:rsidSect="000A5BF0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5DB"/>
    <w:multiLevelType w:val="hybridMultilevel"/>
    <w:tmpl w:val="9DD8D7E6"/>
    <w:lvl w:ilvl="0" w:tplc="F662B66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235BA2"/>
    <w:multiLevelType w:val="hybridMultilevel"/>
    <w:tmpl w:val="D7D0F430"/>
    <w:lvl w:ilvl="0" w:tplc="BE902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3F728A"/>
    <w:multiLevelType w:val="hybridMultilevel"/>
    <w:tmpl w:val="B0CE53C4"/>
    <w:lvl w:ilvl="0" w:tplc="0409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662605E"/>
    <w:multiLevelType w:val="hybridMultilevel"/>
    <w:tmpl w:val="59A0D6F6"/>
    <w:lvl w:ilvl="0" w:tplc="F662B6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5BF0"/>
    <w:rsid w:val="000A5BF0"/>
    <w:rsid w:val="00590B64"/>
    <w:rsid w:val="00980C2D"/>
    <w:rsid w:val="00B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F0"/>
    <w:pPr>
      <w:spacing w:after="160" w:line="259" w:lineRule="auto"/>
    </w:pPr>
    <w:rPr>
      <w:rFonts w:eastAsia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BF0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6416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2019-01-15T13:04:00Z</dcterms:created>
  <dcterms:modified xsi:type="dcterms:W3CDTF">2019-01-15T13:05:00Z</dcterms:modified>
</cp:coreProperties>
</file>